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7" w:rsidRDefault="00AD65D7" w:rsidP="00AD65D7">
      <w:pPr>
        <w:spacing w:before="10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 xml:space="preserve">Příloha č. 3: Plány na implementaci čl. 10 nařízení k přímým platbám dle průzkumu </w:t>
      </w:r>
      <w:proofErr w:type="spellStart"/>
      <w:r>
        <w:rPr>
          <w:b/>
          <w:sz w:val="20"/>
          <w:szCs w:val="20"/>
          <w:u w:val="single"/>
        </w:rPr>
        <w:t>Copa-Cogeca</w:t>
      </w:r>
      <w:proofErr w:type="spellEnd"/>
    </w:p>
    <w:p w:rsidR="00AD65D7" w:rsidRPr="005D666F" w:rsidRDefault="00AD65D7" w:rsidP="00AD65D7">
      <w:pPr>
        <w:spacing w:before="10"/>
        <w:jc w:val="both"/>
        <w:rPr>
          <w:i/>
        </w:rPr>
      </w:pPr>
      <w:r w:rsidRPr="005D666F">
        <w:rPr>
          <w:i/>
        </w:rPr>
        <w:t xml:space="preserve">Zdroj: </w:t>
      </w:r>
      <w:proofErr w:type="spellStart"/>
      <w:r w:rsidRPr="005D666F">
        <w:rPr>
          <w:i/>
        </w:rPr>
        <w:t>Copa-Copega</w:t>
      </w:r>
      <w:proofErr w:type="spellEnd"/>
      <w:r w:rsidRPr="005D666F">
        <w:rPr>
          <w:i/>
        </w:rPr>
        <w:t>, informace od členských organizací, ke dni 24. 6. 2014, přeložila R. Vondráková</w:t>
      </w:r>
    </w:p>
    <w:p w:rsidR="00AD65D7" w:rsidRDefault="00AD65D7" w:rsidP="00AD65D7">
      <w:pPr>
        <w:spacing w:before="10"/>
        <w:rPr>
          <w:b/>
          <w:sz w:val="20"/>
          <w:szCs w:val="20"/>
          <w:u w:val="single"/>
        </w:rPr>
      </w:pPr>
    </w:p>
    <w:tbl>
      <w:tblPr>
        <w:tblW w:w="10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D65D7" w:rsidRPr="00C23435" w:rsidTr="00C55215">
        <w:trPr>
          <w:trHeight w:val="465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12" w:space="0" w:color="4F81BD"/>
              <w:right w:val="nil"/>
            </w:tcBorders>
            <w:shd w:val="clear" w:color="000000" w:fill="FFFFFF"/>
            <w:noWrap/>
            <w:vAlign w:val="bottom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bookmarkStart w:id="1" w:name="RANGE!A1:D36"/>
            <w:r w:rsidRPr="00C23435"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>článek 10 - Minimální podmínky pro získání přímých plateb</w:t>
            </w:r>
            <w:bookmarkEnd w:id="1"/>
          </w:p>
        </w:tc>
      </w:tr>
      <w:tr w:rsidR="00AD65D7" w:rsidRPr="00C23435" w:rsidTr="00C55215">
        <w:trPr>
          <w:trHeight w:val="4035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65D7" w:rsidRPr="00C23435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F7F7F"/>
                <w:sz w:val="20"/>
                <w:szCs w:val="20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b/>
                <w:i/>
                <w:iCs/>
                <w:color w:val="7F7F7F"/>
                <w:sz w:val="20"/>
                <w:szCs w:val="20"/>
                <w:lang w:eastAsia="cs-CZ"/>
              </w:rPr>
              <w:t>Minimální požadavky na získání přímých plateb</w:t>
            </w:r>
            <w:r w:rsidRPr="00C23435">
              <w:rPr>
                <w:rFonts w:ascii="Calibri" w:eastAsia="Times New Roman" w:hAnsi="Calibri" w:cs="Times New Roman"/>
                <w:b/>
                <w:i/>
                <w:iCs/>
                <w:color w:val="7F7F7F"/>
                <w:sz w:val="20"/>
                <w:szCs w:val="20"/>
                <w:lang w:eastAsia="cs-CZ"/>
              </w:rPr>
              <w:br/>
              <w:t>1. Členské státy rozhodnou, že v jednom z těchto případů neposkytnou zemědělci přímé platby:</w:t>
            </w:r>
            <w:r w:rsidRPr="00C23435">
              <w:rPr>
                <w:rFonts w:ascii="Calibri" w:eastAsia="Times New Roman" w:hAnsi="Calibri" w:cs="Times New Roman"/>
                <w:b/>
                <w:i/>
                <w:iCs/>
                <w:color w:val="7F7F7F"/>
                <w:sz w:val="20"/>
                <w:szCs w:val="20"/>
                <w:lang w:eastAsia="cs-CZ"/>
              </w:rPr>
              <w:br/>
              <w:t>a) pokud je celková částka přímých plateb, o kterou bylo zažádáno nebo která má být poskytnuta před uplatněním článku 63 nařízení (EU) č. 1306/2013 v daném kalendářním roce, nižší než 100 EUR;</w:t>
            </w:r>
            <w:r w:rsidRPr="00C23435">
              <w:rPr>
                <w:rFonts w:ascii="Calibri" w:eastAsia="Times New Roman" w:hAnsi="Calibri" w:cs="Times New Roman"/>
                <w:b/>
                <w:i/>
                <w:iCs/>
                <w:color w:val="7F7F7F"/>
                <w:sz w:val="20"/>
                <w:szCs w:val="20"/>
                <w:lang w:eastAsia="cs-CZ"/>
              </w:rPr>
              <w:br/>
              <w:t>b) pokud je plocha zemědělského podniku, na kterou lze poskytnout podporu, u níž bylo zažádáno o přímé platby nebo u níž mají být přímé platby poskytnuty před uplatněním článku 63 nařízení (EU) č. 1306/2013, menší než jeden hektar.</w:t>
            </w:r>
            <w:r w:rsidRPr="00C23435">
              <w:rPr>
                <w:rFonts w:ascii="Calibri" w:eastAsia="Times New Roman" w:hAnsi="Calibri" w:cs="Times New Roman"/>
                <w:b/>
                <w:i/>
                <w:iCs/>
                <w:color w:val="7F7F7F"/>
                <w:sz w:val="20"/>
                <w:szCs w:val="20"/>
                <w:lang w:eastAsia="cs-CZ"/>
              </w:rPr>
              <w:br/>
              <w:t>2. Členské státy mohou v rámci limitů stanovených v příloze IV upravit prahové hodnoty uvedené v odst. 1 písm. a) a b), aby zohlednily strukturu své zemědělské ekonomiky.</w:t>
            </w:r>
            <w:r w:rsidRPr="00C23435">
              <w:rPr>
                <w:rFonts w:ascii="Calibri" w:eastAsia="Times New Roman" w:hAnsi="Calibri" w:cs="Times New Roman"/>
                <w:b/>
                <w:i/>
                <w:iCs/>
                <w:color w:val="7F7F7F"/>
                <w:sz w:val="20"/>
                <w:szCs w:val="20"/>
                <w:lang w:eastAsia="cs-CZ"/>
              </w:rPr>
              <w:br/>
              <w:t>3. Pokud se členský stát rozhodl uplatnit prahovou hodnotu týkající se plochy podle odst. 1 písm. b), použije nicméně písmeno a) uvedeného odstavce na ty zemědělce, kterým je vyplácena podpora vázaná na produkci v živočišné výrobě uvedená v hlavě IV a kteří mají méně hektarů, než je prahová hodnota týkající se plochy.</w:t>
            </w:r>
          </w:p>
        </w:tc>
      </w:tr>
      <w:tr w:rsidR="00AD65D7" w:rsidRPr="00C23435" w:rsidTr="00C55215">
        <w:trPr>
          <w:trHeight w:val="360"/>
        </w:trPr>
        <w:tc>
          <w:tcPr>
            <w:tcW w:w="270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C23435"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>Země/částka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C23435"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>Výše přímých plateb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C23435"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>Počet hektarů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vAlign w:val="bottom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C23435">
              <w:rPr>
                <w:rFonts w:ascii="Cambria" w:eastAsia="Times New Roman" w:hAnsi="Cambria" w:cs="Times New Roman"/>
                <w:b/>
                <w:bCs/>
                <w:color w:val="1F497D"/>
                <w:sz w:val="20"/>
                <w:szCs w:val="20"/>
                <w:lang w:eastAsia="cs-CZ"/>
              </w:rPr>
              <w:t>Další požadavky</w:t>
            </w:r>
          </w:p>
        </w:tc>
      </w:tr>
      <w:tr w:rsidR="00AD65D7" w:rsidRPr="00C23435" w:rsidTr="00C55215">
        <w:trPr>
          <w:trHeight w:val="330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Belgie</w:t>
            </w: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Flandry)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Belgie</w:t>
            </w: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Valonsko</w:t>
            </w: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Bulharsko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Dánsko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5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1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Estonsko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Irsko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Řecko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9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Španělsko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&lt; €100 in 2015</w:t>
            </w: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br/>
              <w:t>&lt; €200 in 2016</w:t>
            </w: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br/>
              <w:t>&lt; €300 in 2017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rancie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Řecko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9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Itálie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&lt; €250 in 2015</w:t>
            </w: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br/>
              <w:t>&lt; €250 in 2016</w:t>
            </w: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br/>
              <w:t>&lt; €300 in 2017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Kypr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Lotyšsko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Litva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Lucembursko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Maďarsko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1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Malta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Nizozemí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€500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6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Rakousko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&lt; €150 (</w:t>
            </w:r>
            <w:r>
              <w:rPr>
                <w:rFonts w:ascii="Calibri" w:eastAsia="Times New Roman" w:hAnsi="Calibri" w:cs="Times New Roman"/>
                <w:color w:val="1F497D"/>
                <w:lang w:eastAsia="cs-CZ"/>
              </w:rPr>
              <w:t>výjimku tvoří ti, kdo mají nárok na vázanou podporu</w:t>
            </w: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1,5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lastRenderedPageBreak/>
              <w:t>Polsko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Portugalsko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€100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0,5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Rumunsko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lovinsko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lovensko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 w:rsidRPr="00474E11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insko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€200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Švédsko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4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VB (Anglie)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5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VB (Wales)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VB (Skotsko)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</w:tr>
      <w:tr w:rsidR="00AD65D7" w:rsidRPr="00C23435" w:rsidTr="00C55215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474E11" w:rsidRDefault="00AD65D7" w:rsidP="00C55215">
            <w:pPr>
              <w:spacing w:before="10"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cs-CZ"/>
              </w:rPr>
              <w:t>VB (Severní Irsko)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 w:rsidRPr="00C23435">
              <w:rPr>
                <w:rFonts w:ascii="Calibri" w:eastAsia="Times New Roman" w:hAnsi="Calibri" w:cs="Times New Roman"/>
                <w:color w:val="1F497D"/>
                <w:lang w:eastAsia="cs-CZ"/>
              </w:rPr>
              <w:t>3 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FFFFFF"/>
            <w:vAlign w:val="center"/>
            <w:hideMark/>
          </w:tcPr>
          <w:p w:rsidR="00AD65D7" w:rsidRPr="00C23435" w:rsidRDefault="00AD65D7" w:rsidP="00C55215">
            <w:pPr>
              <w:spacing w:before="10"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cs-CZ"/>
              </w:rPr>
              <w:t>Ne</w:t>
            </w:r>
          </w:p>
        </w:tc>
      </w:tr>
    </w:tbl>
    <w:p w:rsidR="00AD65D7" w:rsidRPr="00474E11" w:rsidRDefault="00AD65D7" w:rsidP="00AD65D7">
      <w:pPr>
        <w:spacing w:before="10"/>
        <w:jc w:val="both"/>
        <w:rPr>
          <w:b/>
          <w:sz w:val="20"/>
          <w:szCs w:val="20"/>
          <w:u w:val="single"/>
        </w:rPr>
      </w:pPr>
    </w:p>
    <w:p w:rsidR="00AD65D7" w:rsidRPr="00474E11" w:rsidRDefault="00AD65D7" w:rsidP="00AD65D7">
      <w:pPr>
        <w:spacing w:before="10"/>
        <w:jc w:val="both"/>
        <w:rPr>
          <w:b/>
          <w:sz w:val="20"/>
          <w:szCs w:val="20"/>
          <w:u w:val="single"/>
        </w:rPr>
      </w:pPr>
    </w:p>
    <w:p w:rsidR="000D55F6" w:rsidRDefault="000D55F6"/>
    <w:sectPr w:rsidR="000D55F6" w:rsidSect="00474E11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3"/>
    <w:rsid w:val="000D55F6"/>
    <w:rsid w:val="003D1E43"/>
    <w:rsid w:val="00A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5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5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Redaktorka</dc:creator>
  <cp:keywords/>
  <dc:description/>
  <cp:lastModifiedBy>Redaktorka</cp:lastModifiedBy>
  <cp:revision>2</cp:revision>
  <dcterms:created xsi:type="dcterms:W3CDTF">2014-08-14T08:44:00Z</dcterms:created>
  <dcterms:modified xsi:type="dcterms:W3CDTF">2014-08-14T08:44:00Z</dcterms:modified>
</cp:coreProperties>
</file>