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AAC" w:rsidRPr="00604AAC" w:rsidRDefault="00604AAC" w:rsidP="00604AAC">
      <w:pPr>
        <w:jc w:val="both"/>
        <w:rPr>
          <w:rFonts w:ascii="Times New Roman" w:hAnsi="Times New Roman" w:cs="Times New Roman"/>
          <w:b/>
          <w:i/>
          <w:sz w:val="24"/>
          <w:szCs w:val="24"/>
        </w:rPr>
      </w:pPr>
      <w:r w:rsidRPr="00604AAC">
        <w:rPr>
          <w:rFonts w:ascii="Times New Roman" w:hAnsi="Times New Roman" w:cs="Times New Roman"/>
          <w:b/>
          <w:i/>
          <w:sz w:val="24"/>
          <w:szCs w:val="24"/>
        </w:rPr>
        <w:t>Příloha č. 2: Citace nařízení k přímým platbám k tématu vázané podpory na produkci</w:t>
      </w:r>
    </w:p>
    <w:p w:rsidR="00604AAC" w:rsidRPr="00604AAC" w:rsidRDefault="00604AAC" w:rsidP="00604AAC">
      <w:pPr>
        <w:pStyle w:val="CM1"/>
        <w:spacing w:before="200" w:after="200"/>
        <w:jc w:val="both"/>
        <w:rPr>
          <w:rFonts w:ascii="Times New Roman" w:hAnsi="Times New Roman" w:cs="Times New Roman"/>
        </w:rPr>
      </w:pPr>
      <w:r w:rsidRPr="00604AAC">
        <w:rPr>
          <w:rFonts w:ascii="Times New Roman" w:hAnsi="Times New Roman" w:cs="Times New Roman"/>
        </w:rPr>
        <w:t>Členským státům by mělo být umožněno, aby v jasně vymezených případech v určitých odvětvích nebo regionech použily část svých vnitrostátních stropů pro přímé platby na podporu vázanou na produkci. Je třeba přiměřeně omezit výši prostředků, které mohou být použity na podporu vázanou na produkci, a současně umožnit, aby byla tato podpora poskytována v členských státech v jejich konkrétních odvětvích nebo regionech nacházejících se v situaci, kdy z hospodářských, environmentálních nebo sociálních důvodů jsou mimořádně důležité zvláštní druhy zemědělské činnosti nebo zvláštní zemědělská odvětví. Členské státy by měly mít možnost použít na tuto podporu až 8 % svých vnitrostátních stropů, nebo případně až 13 %, pokud výše podpory vázané na produkci překročí alespoň v jednom roce v období 2010–2014 hodnotu 5 %, nebo pokud uplatňují režim jednotné platby do 31. prosince 2014. Navíc, v zájmu zachování nezávislosti odvětví chovu hospodářských zvířat založené na bílkovinách by členským státům, které rozhodnou využít alespoň 2 % svých vnitrostátních stropů na podporu produkce bílkovinných plodin, mělo být umožněno, aby uvedené procentní podíly zvýšily až o dva procentní body. V řádně odůvodněných případech, kdy byly v některém odvětví nebo regionu prokázány určité citlivé potřeby, a po schválení Komisí by členské státy měly mít možnost použít více než 13 % svého vnitrostátního stropu. Jako alternativní postup k uvedeným procentním podílům mohou členské státy rozhodnout, že použijí až 3 miliony EUR ročně na financování podpory vázané na produkci. Podpora vázaná na produkci by měla být poskytnuta pouze v míře nezbytné pro vytvoření motivace pro zachování současných úrovní produkce v uvedených dotčených odvětvích nebo regionech. Tato podpora by rovněž měla být k dispozici zemědělcům, jimž ke dni 31. prosince 2013 náležejí zvláštní platební nároky přiznané podle nařízení (ES) č. 1782/2003 a nařízení (ES) č. 73/2009 a kteří nemají hektary, na něž lze poskytnout podporu, nezbytné pro aktivaci platebních nároků. Pokud jde o schvalování dobrovolné podpory vázané na produkci, která je vyšší než 13 % ročního vnitrostátního stropu stanoveného pro jednotlivé členské státy, měla by být Komisi dále svěřena pravomoc přijímat prováděcí akty bez použití nařízení (EU) č. 182/2011.</w:t>
      </w:r>
    </w:p>
    <w:p w:rsidR="00604AAC" w:rsidRPr="00604AAC" w:rsidRDefault="00604AAC" w:rsidP="00604AAC">
      <w:pPr>
        <w:autoSpaceDE w:val="0"/>
        <w:autoSpaceDN w:val="0"/>
        <w:adjustRightInd w:val="0"/>
        <w:spacing w:before="60" w:after="60" w:line="240" w:lineRule="auto"/>
        <w:jc w:val="both"/>
        <w:rPr>
          <w:rFonts w:ascii="Times New Roman" w:hAnsi="Times New Roman" w:cs="Times New Roman"/>
          <w:color w:val="000000"/>
          <w:sz w:val="24"/>
          <w:szCs w:val="24"/>
        </w:rPr>
      </w:pPr>
      <w:r w:rsidRPr="00604AAC">
        <w:rPr>
          <w:rFonts w:ascii="Times New Roman" w:hAnsi="Times New Roman" w:cs="Times New Roman"/>
          <w:color w:val="000000"/>
          <w:sz w:val="24"/>
          <w:szCs w:val="24"/>
        </w:rPr>
        <w:t xml:space="preserve">HLAVA IV </w:t>
      </w:r>
    </w:p>
    <w:p w:rsidR="00604AAC" w:rsidRPr="00604AAC" w:rsidRDefault="00604AAC" w:rsidP="00604AAC">
      <w:pPr>
        <w:autoSpaceDE w:val="0"/>
        <w:autoSpaceDN w:val="0"/>
        <w:adjustRightInd w:val="0"/>
        <w:spacing w:before="60" w:after="60" w:line="240" w:lineRule="auto"/>
        <w:jc w:val="both"/>
        <w:rPr>
          <w:rFonts w:ascii="Times New Roman" w:hAnsi="Times New Roman" w:cs="Times New Roman"/>
          <w:color w:val="000000"/>
          <w:sz w:val="24"/>
          <w:szCs w:val="24"/>
        </w:rPr>
      </w:pPr>
      <w:r w:rsidRPr="00604AAC">
        <w:rPr>
          <w:rFonts w:ascii="Times New Roman" w:hAnsi="Times New Roman" w:cs="Times New Roman"/>
          <w:b/>
          <w:bCs/>
          <w:color w:val="000000"/>
          <w:sz w:val="24"/>
          <w:szCs w:val="24"/>
        </w:rPr>
        <w:t xml:space="preserve">PODPORA VÁZANÁ NA PRODUKCI </w:t>
      </w:r>
    </w:p>
    <w:p w:rsidR="00604AAC" w:rsidRPr="00604AAC" w:rsidRDefault="00604AAC" w:rsidP="00604AAC">
      <w:pPr>
        <w:autoSpaceDE w:val="0"/>
        <w:autoSpaceDN w:val="0"/>
        <w:adjustRightInd w:val="0"/>
        <w:spacing w:before="60" w:after="60" w:line="240" w:lineRule="auto"/>
        <w:jc w:val="both"/>
        <w:rPr>
          <w:rFonts w:ascii="Times New Roman" w:hAnsi="Times New Roman" w:cs="Times New Roman"/>
          <w:color w:val="000000"/>
          <w:sz w:val="24"/>
          <w:szCs w:val="24"/>
        </w:rPr>
      </w:pPr>
      <w:r w:rsidRPr="00604AAC">
        <w:rPr>
          <w:rFonts w:ascii="Times New Roman" w:hAnsi="Times New Roman" w:cs="Times New Roman"/>
          <w:i/>
          <w:iCs/>
          <w:color w:val="000000"/>
          <w:sz w:val="24"/>
          <w:szCs w:val="24"/>
        </w:rPr>
        <w:t xml:space="preserve">KAPITOLA 1 </w:t>
      </w:r>
    </w:p>
    <w:p w:rsidR="00604AAC" w:rsidRPr="00604AAC" w:rsidRDefault="00604AAC" w:rsidP="00604AAC">
      <w:pPr>
        <w:autoSpaceDE w:val="0"/>
        <w:autoSpaceDN w:val="0"/>
        <w:adjustRightInd w:val="0"/>
        <w:spacing w:before="60" w:after="60" w:line="240" w:lineRule="auto"/>
        <w:jc w:val="both"/>
        <w:rPr>
          <w:rFonts w:ascii="Times New Roman" w:hAnsi="Times New Roman" w:cs="Times New Roman"/>
          <w:color w:val="000000"/>
          <w:sz w:val="24"/>
          <w:szCs w:val="24"/>
        </w:rPr>
      </w:pPr>
      <w:r w:rsidRPr="00604AAC">
        <w:rPr>
          <w:rFonts w:ascii="Times New Roman" w:hAnsi="Times New Roman" w:cs="Times New Roman"/>
          <w:b/>
          <w:bCs/>
          <w:i/>
          <w:iCs/>
          <w:color w:val="000000"/>
          <w:sz w:val="24"/>
          <w:szCs w:val="24"/>
        </w:rPr>
        <w:t xml:space="preserve">Dobrovolná podpora vázaná na produkci </w:t>
      </w:r>
    </w:p>
    <w:p w:rsidR="00604AAC" w:rsidRPr="00604AAC" w:rsidRDefault="00604AAC" w:rsidP="00604AAC">
      <w:pPr>
        <w:autoSpaceDE w:val="0"/>
        <w:autoSpaceDN w:val="0"/>
        <w:adjustRightInd w:val="0"/>
        <w:spacing w:before="60" w:after="60" w:line="240" w:lineRule="auto"/>
        <w:jc w:val="both"/>
        <w:rPr>
          <w:rFonts w:ascii="Times New Roman" w:hAnsi="Times New Roman" w:cs="Times New Roman"/>
          <w:color w:val="000000"/>
          <w:sz w:val="24"/>
          <w:szCs w:val="24"/>
        </w:rPr>
      </w:pPr>
      <w:r w:rsidRPr="00604AAC">
        <w:rPr>
          <w:rFonts w:ascii="Times New Roman" w:hAnsi="Times New Roman" w:cs="Times New Roman"/>
          <w:i/>
          <w:iCs/>
          <w:color w:val="000000"/>
          <w:sz w:val="24"/>
          <w:szCs w:val="24"/>
        </w:rPr>
        <w:t xml:space="preserve">Článek 52 </w:t>
      </w:r>
    </w:p>
    <w:p w:rsidR="00604AAC" w:rsidRPr="00604AAC" w:rsidRDefault="00604AAC" w:rsidP="00604AAC">
      <w:pPr>
        <w:autoSpaceDE w:val="0"/>
        <w:autoSpaceDN w:val="0"/>
        <w:adjustRightInd w:val="0"/>
        <w:spacing w:before="60" w:after="60" w:line="240" w:lineRule="auto"/>
        <w:jc w:val="both"/>
        <w:rPr>
          <w:rFonts w:ascii="Times New Roman" w:hAnsi="Times New Roman" w:cs="Times New Roman"/>
          <w:color w:val="000000"/>
          <w:sz w:val="24"/>
          <w:szCs w:val="24"/>
        </w:rPr>
      </w:pPr>
      <w:r w:rsidRPr="00604AAC">
        <w:rPr>
          <w:rFonts w:ascii="Times New Roman" w:hAnsi="Times New Roman" w:cs="Times New Roman"/>
          <w:b/>
          <w:bCs/>
          <w:color w:val="000000"/>
          <w:sz w:val="24"/>
          <w:szCs w:val="24"/>
        </w:rPr>
        <w:t xml:space="preserve">Obecná pravidla </w:t>
      </w:r>
    </w:p>
    <w:p w:rsidR="00604AAC" w:rsidRPr="00604AAC" w:rsidRDefault="00604AAC" w:rsidP="00604AAC">
      <w:pPr>
        <w:autoSpaceDE w:val="0"/>
        <w:autoSpaceDN w:val="0"/>
        <w:adjustRightInd w:val="0"/>
        <w:spacing w:before="60" w:after="60" w:line="240" w:lineRule="auto"/>
        <w:jc w:val="both"/>
        <w:rPr>
          <w:rFonts w:ascii="Times New Roman" w:hAnsi="Times New Roman" w:cs="Times New Roman"/>
          <w:color w:val="000000"/>
          <w:sz w:val="24"/>
          <w:szCs w:val="24"/>
        </w:rPr>
      </w:pPr>
      <w:r w:rsidRPr="00604AAC">
        <w:rPr>
          <w:rFonts w:ascii="Times New Roman" w:hAnsi="Times New Roman" w:cs="Times New Roman"/>
          <w:color w:val="000000"/>
          <w:sz w:val="24"/>
          <w:szCs w:val="24"/>
        </w:rPr>
        <w:t xml:space="preserve">1. Členské státy mohou poskytnout podporu vázanou na produkci zemědělcům za podmínek stanovených v této kapitole (v této kapitole dále jen „podpora vázaná na produkci“). </w:t>
      </w:r>
    </w:p>
    <w:p w:rsidR="00604AAC" w:rsidRPr="00604AAC" w:rsidRDefault="00604AAC" w:rsidP="00604AAC">
      <w:pPr>
        <w:autoSpaceDE w:val="0"/>
        <w:autoSpaceDN w:val="0"/>
        <w:adjustRightInd w:val="0"/>
        <w:spacing w:before="60" w:after="60" w:line="240" w:lineRule="auto"/>
        <w:jc w:val="both"/>
        <w:rPr>
          <w:rFonts w:ascii="Times New Roman" w:hAnsi="Times New Roman" w:cs="Times New Roman"/>
          <w:color w:val="000000"/>
          <w:sz w:val="24"/>
          <w:szCs w:val="24"/>
        </w:rPr>
      </w:pPr>
      <w:r w:rsidRPr="00604AAC">
        <w:rPr>
          <w:rFonts w:ascii="Times New Roman" w:hAnsi="Times New Roman" w:cs="Times New Roman"/>
          <w:color w:val="000000"/>
          <w:sz w:val="24"/>
          <w:szCs w:val="24"/>
        </w:rPr>
        <w:t xml:space="preserve">2. Podpora vázaná na produkci může být poskytnuta na tato odvětví a tyto produkty: obiloviny, olejnatá semena, bílkovinné plodiny, luskoviny pěstované na zrno, len, konopí, rýži, skořápkové ovoce, brambory určené pro výrobu škrobu, mléko a mléčné výrobky, osiva, skopové a kozí maso, hovězí a telecí maso, olivový olej, bource morušového, sušená krmiva, chmel, cukrovou řepu, cukrovou třtinu a čekanku, ovoce a zeleninu a rychle rostoucí dřeviny pěstované ve výmladkových plantážích. </w:t>
      </w:r>
    </w:p>
    <w:p w:rsidR="00604AAC" w:rsidRPr="00604AAC" w:rsidRDefault="00604AAC" w:rsidP="00604AAC">
      <w:pPr>
        <w:autoSpaceDE w:val="0"/>
        <w:autoSpaceDN w:val="0"/>
        <w:adjustRightInd w:val="0"/>
        <w:spacing w:before="60" w:after="60" w:line="240" w:lineRule="auto"/>
        <w:jc w:val="both"/>
        <w:rPr>
          <w:rFonts w:ascii="Times New Roman" w:hAnsi="Times New Roman" w:cs="Times New Roman"/>
          <w:color w:val="000000"/>
          <w:sz w:val="24"/>
          <w:szCs w:val="24"/>
        </w:rPr>
      </w:pPr>
      <w:r w:rsidRPr="00604AAC">
        <w:rPr>
          <w:rFonts w:ascii="Times New Roman" w:hAnsi="Times New Roman" w:cs="Times New Roman"/>
          <w:color w:val="000000"/>
          <w:sz w:val="24"/>
          <w:szCs w:val="24"/>
        </w:rPr>
        <w:t xml:space="preserve">3. Podpora vázaná na produkci může být poskytnuta pouze těm odvětvím nebo těm regionům členského státu, kde zvláštní druhy zemědělské činnosti nebo zvláštní zemědělská odvětví, které jsou obzvláště důležité z hospodářských, sociálních nebo environmentálních důvodů, čelí určitým obtížím. </w:t>
      </w:r>
    </w:p>
    <w:p w:rsidR="00604AAC" w:rsidRPr="00604AAC" w:rsidRDefault="00604AAC" w:rsidP="00604AAC">
      <w:pPr>
        <w:autoSpaceDE w:val="0"/>
        <w:autoSpaceDN w:val="0"/>
        <w:adjustRightInd w:val="0"/>
        <w:spacing w:before="60" w:after="60" w:line="240" w:lineRule="auto"/>
        <w:jc w:val="both"/>
        <w:rPr>
          <w:rFonts w:ascii="Times New Roman" w:hAnsi="Times New Roman" w:cs="Times New Roman"/>
          <w:color w:val="000000"/>
          <w:sz w:val="24"/>
          <w:szCs w:val="24"/>
        </w:rPr>
      </w:pPr>
      <w:r w:rsidRPr="00604AAC">
        <w:rPr>
          <w:rFonts w:ascii="Times New Roman" w:hAnsi="Times New Roman" w:cs="Times New Roman"/>
          <w:color w:val="000000"/>
          <w:sz w:val="24"/>
          <w:szCs w:val="24"/>
        </w:rPr>
        <w:lastRenderedPageBreak/>
        <w:t xml:space="preserve">4. </w:t>
      </w:r>
      <w:proofErr w:type="gramStart"/>
      <w:r w:rsidRPr="00604AAC">
        <w:rPr>
          <w:rFonts w:ascii="Times New Roman" w:hAnsi="Times New Roman" w:cs="Times New Roman"/>
          <w:color w:val="000000"/>
          <w:sz w:val="24"/>
          <w:szCs w:val="24"/>
        </w:rPr>
        <w:t>Odchylně</w:t>
      </w:r>
      <w:proofErr w:type="gramEnd"/>
      <w:r w:rsidRPr="00604AAC">
        <w:rPr>
          <w:rFonts w:ascii="Times New Roman" w:hAnsi="Times New Roman" w:cs="Times New Roman"/>
          <w:color w:val="000000"/>
          <w:sz w:val="24"/>
          <w:szCs w:val="24"/>
        </w:rPr>
        <w:t xml:space="preserve"> od odstavce 3 se podpora vázaná na produkci může poskytnout také zemědělcům, </w:t>
      </w:r>
      <w:proofErr w:type="gramStart"/>
      <w:r w:rsidRPr="00604AAC">
        <w:rPr>
          <w:rFonts w:ascii="Times New Roman" w:hAnsi="Times New Roman" w:cs="Times New Roman"/>
          <w:color w:val="000000"/>
          <w:sz w:val="24"/>
          <w:szCs w:val="24"/>
        </w:rPr>
        <w:t>kteří:</w:t>
      </w:r>
      <w:proofErr w:type="gramEnd"/>
      <w:r w:rsidRPr="00604AAC">
        <w:rPr>
          <w:rFonts w:ascii="Times New Roman" w:hAnsi="Times New Roman" w:cs="Times New Roman"/>
          <w:color w:val="000000"/>
          <w:sz w:val="24"/>
          <w:szCs w:val="24"/>
        </w:rPr>
        <w:t xml:space="preserve"> </w:t>
      </w:r>
    </w:p>
    <w:p w:rsidR="00604AAC" w:rsidRPr="00604AAC" w:rsidRDefault="00604AAC" w:rsidP="00604AAC">
      <w:pPr>
        <w:autoSpaceDE w:val="0"/>
        <w:autoSpaceDN w:val="0"/>
        <w:adjustRightInd w:val="0"/>
        <w:spacing w:before="60" w:after="60" w:line="240" w:lineRule="auto"/>
        <w:jc w:val="both"/>
        <w:rPr>
          <w:rFonts w:ascii="Times New Roman" w:hAnsi="Times New Roman" w:cs="Times New Roman"/>
          <w:color w:val="000000"/>
          <w:sz w:val="24"/>
          <w:szCs w:val="24"/>
        </w:rPr>
      </w:pPr>
      <w:r w:rsidRPr="00604AAC">
        <w:rPr>
          <w:rFonts w:ascii="Times New Roman" w:hAnsi="Times New Roman" w:cs="Times New Roman"/>
          <w:color w:val="000000"/>
          <w:sz w:val="24"/>
          <w:szCs w:val="24"/>
        </w:rPr>
        <w:t xml:space="preserve">a) jsou ke dni 31. prosince 2014 držiteli platebních nároků udělených v souladu s hlavou III kapitolou 3 oddílem 2 a článkem 71m nařízení (ES) č. 1782/2003 a v souladu s článkem 60 a čl. 65 čtvrtým pododstavcem nařízení (ES) č. 73/2009 a </w:t>
      </w:r>
    </w:p>
    <w:p w:rsidR="00604AAC" w:rsidRPr="00604AAC" w:rsidRDefault="00604AAC" w:rsidP="00604AAC">
      <w:pPr>
        <w:autoSpaceDE w:val="0"/>
        <w:autoSpaceDN w:val="0"/>
        <w:adjustRightInd w:val="0"/>
        <w:spacing w:before="60" w:after="60" w:line="240" w:lineRule="auto"/>
        <w:jc w:val="both"/>
        <w:rPr>
          <w:rFonts w:ascii="Times New Roman" w:hAnsi="Times New Roman" w:cs="Times New Roman"/>
          <w:color w:val="000000"/>
          <w:sz w:val="24"/>
          <w:szCs w:val="24"/>
        </w:rPr>
      </w:pPr>
      <w:r w:rsidRPr="00604AAC">
        <w:rPr>
          <w:rFonts w:ascii="Times New Roman" w:hAnsi="Times New Roman" w:cs="Times New Roman"/>
          <w:color w:val="000000"/>
          <w:sz w:val="24"/>
          <w:szCs w:val="24"/>
        </w:rPr>
        <w:t xml:space="preserve">b) nemají k dispozici způsobilé hektary nezbytné pro aktivaci platebních nároků v režimu základní platby podle hlavy III kapitoly 1 tohoto nařízení. </w:t>
      </w:r>
    </w:p>
    <w:p w:rsidR="00604AAC" w:rsidRPr="00604AAC" w:rsidRDefault="00604AAC" w:rsidP="00604AAC">
      <w:pPr>
        <w:autoSpaceDE w:val="0"/>
        <w:autoSpaceDN w:val="0"/>
        <w:adjustRightInd w:val="0"/>
        <w:spacing w:before="60" w:after="60" w:line="240" w:lineRule="auto"/>
        <w:jc w:val="both"/>
        <w:rPr>
          <w:rFonts w:ascii="Times New Roman" w:hAnsi="Times New Roman" w:cs="Times New Roman"/>
          <w:color w:val="000000"/>
          <w:sz w:val="24"/>
          <w:szCs w:val="24"/>
        </w:rPr>
      </w:pPr>
      <w:r w:rsidRPr="00604AAC">
        <w:rPr>
          <w:rFonts w:ascii="Times New Roman" w:hAnsi="Times New Roman" w:cs="Times New Roman"/>
          <w:color w:val="000000"/>
          <w:sz w:val="24"/>
          <w:szCs w:val="24"/>
        </w:rPr>
        <w:t xml:space="preserve">5. Podpora vázaná na produkci může být poskytnuta pouze v míře nezbytné pro vytvoření motivace pro zachování současných úrovní produkce v příslušných odvětvích nebo regionech. </w:t>
      </w:r>
    </w:p>
    <w:p w:rsidR="00604AAC" w:rsidRPr="00604AAC" w:rsidRDefault="00604AAC" w:rsidP="00604AAC">
      <w:pPr>
        <w:autoSpaceDE w:val="0"/>
        <w:autoSpaceDN w:val="0"/>
        <w:adjustRightInd w:val="0"/>
        <w:spacing w:before="60" w:after="60" w:line="240" w:lineRule="auto"/>
        <w:jc w:val="both"/>
        <w:rPr>
          <w:rFonts w:ascii="Times New Roman" w:hAnsi="Times New Roman" w:cs="Times New Roman"/>
          <w:color w:val="000000"/>
          <w:sz w:val="24"/>
          <w:szCs w:val="24"/>
        </w:rPr>
      </w:pPr>
      <w:r w:rsidRPr="00604AAC">
        <w:rPr>
          <w:rFonts w:ascii="Times New Roman" w:hAnsi="Times New Roman" w:cs="Times New Roman"/>
          <w:color w:val="000000"/>
          <w:sz w:val="24"/>
          <w:szCs w:val="24"/>
        </w:rPr>
        <w:t xml:space="preserve">6. Podpora vázaná na produkci se poskytuje formou roční platby, a to na základě stanovených množstevních omezení, stanovených ploch a výnosů nebo stanoveného počtu zvířat. </w:t>
      </w:r>
    </w:p>
    <w:p w:rsidR="00604AAC" w:rsidRPr="00604AAC" w:rsidRDefault="00604AAC" w:rsidP="00604AAC">
      <w:pPr>
        <w:autoSpaceDE w:val="0"/>
        <w:autoSpaceDN w:val="0"/>
        <w:adjustRightInd w:val="0"/>
        <w:spacing w:before="60" w:after="60" w:line="240" w:lineRule="auto"/>
        <w:jc w:val="both"/>
        <w:rPr>
          <w:rFonts w:ascii="Times New Roman" w:hAnsi="Times New Roman" w:cs="Times New Roman"/>
          <w:color w:val="000000"/>
          <w:sz w:val="24"/>
          <w:szCs w:val="24"/>
        </w:rPr>
      </w:pPr>
      <w:r w:rsidRPr="00604AAC">
        <w:rPr>
          <w:rFonts w:ascii="Times New Roman" w:hAnsi="Times New Roman" w:cs="Times New Roman"/>
          <w:color w:val="000000"/>
          <w:sz w:val="24"/>
          <w:szCs w:val="24"/>
        </w:rPr>
        <w:t xml:space="preserve">7. V případě právnické osoby či skupiny fyzických nebo právnických osob mohou členské státy uplatnit omezení uvedená v odstavci 6 na úrovni členů těchto právnických osob nebo skupin, pokud vnitrostátní právní předpisy stanoví pro jednotlivé členy práva a povinnosti srovnatelné s právy a povinnostmi jednotlivých zemědělců, kteří mají postavení vedoucího podniku, zejména pokud jde o jejich hospodářský, sociální a daňový status, za předpokladu, že se podílely na posílení zemědělských struktur dotčených právnických osob nebo skupin. </w:t>
      </w:r>
    </w:p>
    <w:p w:rsidR="00604AAC" w:rsidRPr="00604AAC" w:rsidRDefault="00604AAC" w:rsidP="00604AAC">
      <w:pPr>
        <w:autoSpaceDE w:val="0"/>
        <w:autoSpaceDN w:val="0"/>
        <w:adjustRightInd w:val="0"/>
        <w:spacing w:before="60" w:after="60" w:line="240" w:lineRule="auto"/>
        <w:jc w:val="both"/>
        <w:rPr>
          <w:rFonts w:ascii="Times New Roman" w:hAnsi="Times New Roman" w:cs="Times New Roman"/>
          <w:color w:val="000000"/>
          <w:sz w:val="24"/>
          <w:szCs w:val="24"/>
        </w:rPr>
      </w:pPr>
      <w:r w:rsidRPr="00604AAC">
        <w:rPr>
          <w:rFonts w:ascii="Times New Roman" w:hAnsi="Times New Roman" w:cs="Times New Roman"/>
          <w:color w:val="000000"/>
          <w:sz w:val="24"/>
          <w:szCs w:val="24"/>
        </w:rPr>
        <w:t xml:space="preserve">8. Podpora vázaná na produkci poskytnutá podle tohoto článku musí být v souladu s dalšími opatřeními a politikami Unie. </w:t>
      </w:r>
    </w:p>
    <w:p w:rsidR="00604AAC" w:rsidRPr="00604AAC" w:rsidRDefault="00604AAC" w:rsidP="00604AAC">
      <w:pPr>
        <w:autoSpaceDE w:val="0"/>
        <w:autoSpaceDN w:val="0"/>
        <w:adjustRightInd w:val="0"/>
        <w:spacing w:before="60" w:after="60" w:line="240" w:lineRule="auto"/>
        <w:jc w:val="both"/>
        <w:rPr>
          <w:rFonts w:ascii="Times New Roman" w:hAnsi="Times New Roman" w:cs="Times New Roman"/>
          <w:color w:val="000000"/>
          <w:sz w:val="24"/>
          <w:szCs w:val="24"/>
        </w:rPr>
      </w:pPr>
      <w:r w:rsidRPr="00604AAC">
        <w:rPr>
          <w:rFonts w:ascii="Times New Roman" w:hAnsi="Times New Roman" w:cs="Times New Roman"/>
          <w:color w:val="000000"/>
          <w:sz w:val="24"/>
          <w:szCs w:val="24"/>
        </w:rPr>
        <w:t xml:space="preserve">9. S cílem zajistit účinné a cílené využívání prostředků Unie a zabránit dvojímu financování v rámci jiných podobných nástrojů podpory je Komisi svěřena pravomoc přijímat akty v přenesené pravomoci v souladu s článkem 70, které stanoví: </w:t>
      </w:r>
    </w:p>
    <w:p w:rsidR="00604AAC" w:rsidRPr="00604AAC" w:rsidRDefault="00604AAC" w:rsidP="00604AAC">
      <w:pPr>
        <w:pStyle w:val="Default"/>
        <w:tabs>
          <w:tab w:val="left" w:pos="1275"/>
        </w:tabs>
        <w:jc w:val="both"/>
        <w:rPr>
          <w:rFonts w:ascii="Times New Roman" w:hAnsi="Times New Roman" w:cs="Times New Roman"/>
        </w:rPr>
      </w:pPr>
      <w:r w:rsidRPr="00604AAC">
        <w:rPr>
          <w:rFonts w:ascii="Times New Roman" w:hAnsi="Times New Roman" w:cs="Times New Roman"/>
        </w:rPr>
        <w:t>a) podmínky pro poskytnutí podpory vázané na produkci;</w:t>
      </w:r>
    </w:p>
    <w:p w:rsidR="00604AAC" w:rsidRPr="00604AAC" w:rsidRDefault="00604AAC" w:rsidP="00604AAC">
      <w:pPr>
        <w:pStyle w:val="Default"/>
        <w:tabs>
          <w:tab w:val="left" w:pos="1275"/>
        </w:tabs>
        <w:jc w:val="both"/>
        <w:rPr>
          <w:rFonts w:ascii="Times New Roman" w:hAnsi="Times New Roman" w:cs="Times New Roman"/>
        </w:rPr>
      </w:pPr>
      <w:r w:rsidRPr="00604AAC">
        <w:rPr>
          <w:rFonts w:ascii="Times New Roman" w:hAnsi="Times New Roman" w:cs="Times New Roman"/>
        </w:rPr>
        <w:t>b) pravidla týkající se souladu s dalšími opatřeními Unie a kumulace podpor.</w:t>
      </w:r>
    </w:p>
    <w:p w:rsidR="00604AAC" w:rsidRPr="00604AAC" w:rsidRDefault="00604AAC" w:rsidP="00604AAC">
      <w:pPr>
        <w:autoSpaceDE w:val="0"/>
        <w:autoSpaceDN w:val="0"/>
        <w:adjustRightInd w:val="0"/>
        <w:spacing w:before="60" w:after="60" w:line="240" w:lineRule="auto"/>
        <w:jc w:val="both"/>
        <w:rPr>
          <w:rFonts w:ascii="Times New Roman" w:hAnsi="Times New Roman" w:cs="Times New Roman"/>
          <w:color w:val="000000"/>
          <w:sz w:val="24"/>
          <w:szCs w:val="24"/>
        </w:rPr>
      </w:pPr>
    </w:p>
    <w:p w:rsidR="00604AAC" w:rsidRPr="00604AAC" w:rsidRDefault="00604AAC" w:rsidP="00604AAC">
      <w:pPr>
        <w:autoSpaceDE w:val="0"/>
        <w:autoSpaceDN w:val="0"/>
        <w:adjustRightInd w:val="0"/>
        <w:spacing w:before="60" w:after="60" w:line="240" w:lineRule="auto"/>
        <w:jc w:val="both"/>
        <w:rPr>
          <w:rFonts w:ascii="Times New Roman" w:hAnsi="Times New Roman" w:cs="Times New Roman"/>
          <w:color w:val="000000"/>
          <w:sz w:val="24"/>
          <w:szCs w:val="24"/>
        </w:rPr>
      </w:pPr>
      <w:r w:rsidRPr="00604AAC">
        <w:rPr>
          <w:rFonts w:ascii="Times New Roman" w:hAnsi="Times New Roman" w:cs="Times New Roman"/>
          <w:i/>
          <w:iCs/>
          <w:color w:val="000000"/>
          <w:sz w:val="24"/>
          <w:szCs w:val="24"/>
        </w:rPr>
        <w:t xml:space="preserve">Článek 55 </w:t>
      </w:r>
    </w:p>
    <w:p w:rsidR="00604AAC" w:rsidRPr="00604AAC" w:rsidRDefault="00604AAC" w:rsidP="00604AAC">
      <w:pPr>
        <w:autoSpaceDE w:val="0"/>
        <w:autoSpaceDN w:val="0"/>
        <w:adjustRightInd w:val="0"/>
        <w:spacing w:before="60" w:after="60" w:line="240" w:lineRule="auto"/>
        <w:jc w:val="both"/>
        <w:rPr>
          <w:rFonts w:ascii="Times New Roman" w:hAnsi="Times New Roman" w:cs="Times New Roman"/>
          <w:color w:val="000000"/>
          <w:sz w:val="24"/>
          <w:szCs w:val="24"/>
        </w:rPr>
      </w:pPr>
      <w:r w:rsidRPr="00604AAC">
        <w:rPr>
          <w:rFonts w:ascii="Times New Roman" w:hAnsi="Times New Roman" w:cs="Times New Roman"/>
          <w:b/>
          <w:bCs/>
          <w:color w:val="000000"/>
          <w:sz w:val="24"/>
          <w:szCs w:val="24"/>
        </w:rPr>
        <w:t xml:space="preserve">Schválení Komisí </w:t>
      </w:r>
    </w:p>
    <w:p w:rsidR="00604AAC" w:rsidRPr="00604AAC" w:rsidRDefault="00604AAC" w:rsidP="00604AAC">
      <w:pPr>
        <w:autoSpaceDE w:val="0"/>
        <w:autoSpaceDN w:val="0"/>
        <w:adjustRightInd w:val="0"/>
        <w:spacing w:before="60" w:after="60" w:line="240" w:lineRule="auto"/>
        <w:jc w:val="both"/>
        <w:rPr>
          <w:rFonts w:ascii="Times New Roman" w:hAnsi="Times New Roman" w:cs="Times New Roman"/>
          <w:color w:val="000000"/>
          <w:sz w:val="24"/>
          <w:szCs w:val="24"/>
        </w:rPr>
      </w:pPr>
      <w:r w:rsidRPr="00604AAC">
        <w:rPr>
          <w:rFonts w:ascii="Times New Roman" w:hAnsi="Times New Roman" w:cs="Times New Roman"/>
          <w:color w:val="000000"/>
          <w:sz w:val="24"/>
          <w:szCs w:val="24"/>
        </w:rPr>
        <w:t>1. Komise přijme prováděcí akty bez použití postupu uvedeného v čl. 71 odst. 2 nebo 3, kterými schválí roz</w:t>
      </w:r>
      <w:bookmarkStart w:id="0" w:name="_GoBack"/>
      <w:bookmarkEnd w:id="0"/>
      <w:r w:rsidRPr="00604AAC">
        <w:rPr>
          <w:rFonts w:ascii="Times New Roman" w:hAnsi="Times New Roman" w:cs="Times New Roman"/>
          <w:color w:val="000000"/>
          <w:sz w:val="24"/>
          <w:szCs w:val="24"/>
        </w:rPr>
        <w:t xml:space="preserve">hodnutí uvedené v čl. 53 odst. 4, nebo případně v čl. 53 odst. 6 písm. a), pokud se v dotčeném odvětví nebo regionu prokáže jedna z těchto potřeb: </w:t>
      </w:r>
    </w:p>
    <w:p w:rsidR="00604AAC" w:rsidRPr="00604AAC" w:rsidRDefault="00604AAC" w:rsidP="00604AAC">
      <w:pPr>
        <w:autoSpaceDE w:val="0"/>
        <w:autoSpaceDN w:val="0"/>
        <w:adjustRightInd w:val="0"/>
        <w:spacing w:before="60" w:after="60" w:line="240" w:lineRule="auto"/>
        <w:jc w:val="both"/>
        <w:rPr>
          <w:rFonts w:ascii="Times New Roman" w:hAnsi="Times New Roman" w:cs="Times New Roman"/>
          <w:color w:val="000000"/>
          <w:sz w:val="24"/>
          <w:szCs w:val="24"/>
        </w:rPr>
      </w:pPr>
      <w:r w:rsidRPr="00604AAC">
        <w:rPr>
          <w:rFonts w:ascii="Times New Roman" w:hAnsi="Times New Roman" w:cs="Times New Roman"/>
          <w:color w:val="000000"/>
          <w:sz w:val="24"/>
          <w:szCs w:val="24"/>
        </w:rPr>
        <w:t xml:space="preserve">a) potřeba zachovat určitou úroveň konkrétní produkce vzhledem k neexistenci alternativ a snížit riziko ukončení produkce a následných sociálních nebo environmentálních problémů; </w:t>
      </w:r>
    </w:p>
    <w:p w:rsidR="00604AAC" w:rsidRPr="00604AAC" w:rsidRDefault="00604AAC" w:rsidP="00604AAC">
      <w:pPr>
        <w:autoSpaceDE w:val="0"/>
        <w:autoSpaceDN w:val="0"/>
        <w:adjustRightInd w:val="0"/>
        <w:spacing w:before="60" w:after="60" w:line="240" w:lineRule="auto"/>
        <w:jc w:val="both"/>
        <w:rPr>
          <w:rFonts w:ascii="Times New Roman" w:hAnsi="Times New Roman" w:cs="Times New Roman"/>
          <w:color w:val="000000"/>
          <w:sz w:val="24"/>
          <w:szCs w:val="24"/>
        </w:rPr>
      </w:pPr>
      <w:r w:rsidRPr="00604AAC">
        <w:rPr>
          <w:rFonts w:ascii="Times New Roman" w:hAnsi="Times New Roman" w:cs="Times New Roman"/>
          <w:color w:val="000000"/>
          <w:sz w:val="24"/>
          <w:szCs w:val="24"/>
        </w:rPr>
        <w:t xml:space="preserve">b) potřeba poskytovat stabilní dodávky místnímu zpracovatelskému průmyslu, čímž se zabrání negativním sociálním a ekonomickým důsledkům jakékoli následné restrukturalizace; </w:t>
      </w:r>
    </w:p>
    <w:p w:rsidR="00604AAC" w:rsidRPr="00604AAC" w:rsidRDefault="00604AAC" w:rsidP="00604AAC">
      <w:pPr>
        <w:autoSpaceDE w:val="0"/>
        <w:autoSpaceDN w:val="0"/>
        <w:adjustRightInd w:val="0"/>
        <w:spacing w:before="60" w:after="60" w:line="240" w:lineRule="auto"/>
        <w:jc w:val="both"/>
        <w:rPr>
          <w:rFonts w:ascii="Times New Roman" w:hAnsi="Times New Roman" w:cs="Times New Roman"/>
          <w:color w:val="000000"/>
          <w:sz w:val="24"/>
          <w:szCs w:val="24"/>
        </w:rPr>
      </w:pPr>
      <w:r w:rsidRPr="00604AAC">
        <w:rPr>
          <w:rFonts w:ascii="Times New Roman" w:hAnsi="Times New Roman" w:cs="Times New Roman"/>
          <w:color w:val="000000"/>
          <w:sz w:val="24"/>
          <w:szCs w:val="24"/>
        </w:rPr>
        <w:t xml:space="preserve">c) potřeba kompenzovat nevýhody, které ovlivňují zemědělce v určitém odvětví a jsou důsledkem pokračujících narušení příslušného trhu; </w:t>
      </w:r>
    </w:p>
    <w:p w:rsidR="00604AAC" w:rsidRPr="00604AAC" w:rsidRDefault="00604AAC" w:rsidP="00604AAC">
      <w:pPr>
        <w:autoSpaceDE w:val="0"/>
        <w:autoSpaceDN w:val="0"/>
        <w:adjustRightInd w:val="0"/>
        <w:spacing w:before="60" w:after="60" w:line="240" w:lineRule="auto"/>
        <w:jc w:val="both"/>
        <w:rPr>
          <w:rFonts w:ascii="Times New Roman" w:hAnsi="Times New Roman" w:cs="Times New Roman"/>
          <w:color w:val="000000"/>
          <w:sz w:val="24"/>
          <w:szCs w:val="24"/>
        </w:rPr>
      </w:pPr>
      <w:r w:rsidRPr="00604AAC">
        <w:rPr>
          <w:rFonts w:ascii="Times New Roman" w:hAnsi="Times New Roman" w:cs="Times New Roman"/>
          <w:color w:val="000000"/>
          <w:sz w:val="24"/>
          <w:szCs w:val="24"/>
        </w:rPr>
        <w:t xml:space="preserve">d) potřeba zasáhnout v případě, že existence jakékoli jiné podpory dostupné podle tohoto nařízení, nařízení (EU) č. 1305/2013 nebo jakéhokoli jiného schváleného režimu státní podpory je považována za nedostatečnou ke splnění potřeb uvedených v písmenech a), b) a c) tohoto odstavce. </w:t>
      </w:r>
    </w:p>
    <w:p w:rsidR="00604AAC" w:rsidRPr="00604AAC" w:rsidRDefault="00604AAC" w:rsidP="00604AAC">
      <w:pPr>
        <w:pStyle w:val="Default"/>
        <w:tabs>
          <w:tab w:val="left" w:pos="1275"/>
        </w:tabs>
        <w:jc w:val="both"/>
        <w:rPr>
          <w:rFonts w:ascii="Times New Roman" w:hAnsi="Times New Roman" w:cs="Times New Roman"/>
        </w:rPr>
      </w:pPr>
      <w:r w:rsidRPr="00604AAC">
        <w:rPr>
          <w:rFonts w:ascii="Times New Roman" w:hAnsi="Times New Roman" w:cs="Times New Roman"/>
        </w:rPr>
        <w:t>2. Komise přijme prováděcí akty, které stanoví pravidla pro postup posuzování a schvalování rozhodnutí uvedených v odstavci 1 tohoto článku. Tyto prováděcí akty se přijímají přezkumným postupem podle čl. 71 odst. 2.</w:t>
      </w:r>
    </w:p>
    <w:p w:rsidR="000D55F6" w:rsidRPr="00604AAC" w:rsidRDefault="000D55F6" w:rsidP="00604AAC">
      <w:pPr>
        <w:jc w:val="both"/>
        <w:rPr>
          <w:rFonts w:ascii="Times New Roman" w:hAnsi="Times New Roman" w:cs="Times New Roman"/>
          <w:sz w:val="24"/>
          <w:szCs w:val="24"/>
        </w:rPr>
      </w:pPr>
    </w:p>
    <w:sectPr w:rsidR="000D55F6" w:rsidRPr="00604A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20002A87" w:usb1="00000000" w:usb2="00000000"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C1B"/>
    <w:rsid w:val="000D55F6"/>
    <w:rsid w:val="00415C1B"/>
    <w:rsid w:val="00604A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04AAC"/>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604AAC"/>
    <w:pPr>
      <w:autoSpaceDE w:val="0"/>
      <w:autoSpaceDN w:val="0"/>
      <w:adjustRightInd w:val="0"/>
      <w:spacing w:after="0" w:line="240" w:lineRule="auto"/>
    </w:pPr>
    <w:rPr>
      <w:rFonts w:ascii="Calibri" w:hAnsi="Calibri" w:cs="Calibri"/>
      <w:color w:val="000000"/>
      <w:sz w:val="24"/>
      <w:szCs w:val="24"/>
    </w:rPr>
  </w:style>
  <w:style w:type="paragraph" w:customStyle="1" w:styleId="CM1">
    <w:name w:val="CM1"/>
    <w:basedOn w:val="Default"/>
    <w:next w:val="Default"/>
    <w:uiPriority w:val="99"/>
    <w:rsid w:val="00604AAC"/>
    <w:rPr>
      <w:rFonts w:ascii="EUAlbertina" w:hAnsi="EUAlbertina" w:cstheme="minorBidi"/>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04AAC"/>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604AAC"/>
    <w:pPr>
      <w:autoSpaceDE w:val="0"/>
      <w:autoSpaceDN w:val="0"/>
      <w:adjustRightInd w:val="0"/>
      <w:spacing w:after="0" w:line="240" w:lineRule="auto"/>
    </w:pPr>
    <w:rPr>
      <w:rFonts w:ascii="Calibri" w:hAnsi="Calibri" w:cs="Calibri"/>
      <w:color w:val="000000"/>
      <w:sz w:val="24"/>
      <w:szCs w:val="24"/>
    </w:rPr>
  </w:style>
  <w:style w:type="paragraph" w:customStyle="1" w:styleId="CM1">
    <w:name w:val="CM1"/>
    <w:basedOn w:val="Default"/>
    <w:next w:val="Default"/>
    <w:uiPriority w:val="99"/>
    <w:rsid w:val="00604AAC"/>
    <w:rPr>
      <w:rFonts w:ascii="EUAlbertina" w:hAnsi="EUAlbertina"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826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952</Words>
  <Characters>5623</Characters>
  <Application>Microsoft Office Word</Application>
  <DocSecurity>0</DocSecurity>
  <Lines>46</Lines>
  <Paragraphs>13</Paragraphs>
  <ScaleCrop>false</ScaleCrop>
  <Company/>
  <LinksUpToDate>false</LinksUpToDate>
  <CharactersWithSpaces>6562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Redaktorka</dc:creator>
  <cp:lastModifiedBy>Redaktorka</cp:lastModifiedBy>
  <cp:revision>2</cp:revision>
  <dcterms:created xsi:type="dcterms:W3CDTF">2014-10-03T09:40:00Z</dcterms:created>
  <dcterms:modified xsi:type="dcterms:W3CDTF">2014-10-03T09:42:00Z</dcterms:modified>
</cp:coreProperties>
</file>